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align>top</wp:align>
            </wp:positionV>
            <wp:extent cx="2110105" cy="504825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DA2895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4650" cy="1895475"/>
                  <wp:effectExtent l="19050" t="0" r="0" b="0"/>
                  <wp:docPr id="1" name="Рисунок 0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10" cy="189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DA2895" w:rsidRDefault="00DA2895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2B1889" w:rsidRDefault="002B1889" w:rsidP="003B0C63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E8737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27</w:t>
            </w: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.02.2018  по </w:t>
            </w:r>
            <w:r w:rsidR="00E8737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31</w:t>
            </w: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.03.2018г.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2B1889" w:rsidRDefault="002B1889" w:rsidP="003B0C63">
            <w:pPr>
              <w:spacing w:after="105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E8737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27</w:t>
            </w: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.02.2018  по </w:t>
            </w:r>
            <w:r w:rsidR="00E8737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31</w:t>
            </w: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.03.2018г.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E8737E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10</w:t>
            </w:r>
            <w:r w:rsidR="002B1889"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4</w:t>
            </w:r>
            <w:r w:rsidR="002B1889"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.2018г.  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E8737E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737E" w:rsidRPr="00E8737E" w:rsidRDefault="00E8737E" w:rsidP="00D76F7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8737E">
        <w:rPr>
          <w:rFonts w:ascii="Times New Roman" w:hAnsi="Times New Roman" w:cs="Times New Roman"/>
          <w:b/>
          <w:color w:val="C00000"/>
          <w:sz w:val="28"/>
          <w:szCs w:val="28"/>
        </w:rPr>
        <w:t>Всероссийский творческий конкурс "Весна идет! Весне дорогу!"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E8737E" w:rsidRPr="00552664" w:rsidRDefault="00E8737E" w:rsidP="00E8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52664">
        <w:rPr>
          <w:rFonts w:ascii="Times New Roman" w:hAnsi="Times New Roman" w:cs="Times New Roman"/>
          <w:sz w:val="24"/>
          <w:szCs w:val="24"/>
        </w:rPr>
        <w:t xml:space="preserve"> </w:t>
      </w: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с целью развить творческий пот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енциал дошкольников, школьников, студентов </w:t>
      </w: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поддержать талантливых детей.</w:t>
      </w:r>
    </w:p>
    <w:p w:rsidR="00E8737E" w:rsidRDefault="00E8737E" w:rsidP="00E873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3695">
        <w:rPr>
          <w:rFonts w:ascii="Times New Roman" w:hAnsi="Times New Roman" w:cs="Times New Roman"/>
          <w:sz w:val="24"/>
          <w:szCs w:val="24"/>
        </w:rPr>
        <w:t>оспитание у молодежи эстетических норм</w:t>
      </w:r>
      <w:r w:rsidR="00DA2895">
        <w:rPr>
          <w:rFonts w:ascii="Times New Roman" w:hAnsi="Times New Roman" w:cs="Times New Roman"/>
          <w:sz w:val="24"/>
          <w:szCs w:val="24"/>
        </w:rPr>
        <w:t xml:space="preserve">, </w:t>
      </w:r>
      <w:r w:rsidRPr="00A73695">
        <w:rPr>
          <w:rFonts w:ascii="Times New Roman" w:hAnsi="Times New Roman" w:cs="Times New Roman"/>
          <w:sz w:val="24"/>
          <w:szCs w:val="24"/>
        </w:rPr>
        <w:t>уважительного отношения к женскому полу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37E" w:rsidRDefault="00E8737E" w:rsidP="00E873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2.3.Р</w:t>
      </w:r>
      <w:r w:rsidRPr="00E8737E">
        <w:rPr>
          <w:rFonts w:ascii="Times New Roman" w:hAnsi="Times New Roman" w:cs="Times New Roman"/>
          <w:sz w:val="24"/>
          <w:szCs w:val="24"/>
        </w:rPr>
        <w:t>асширять представления детей о весеннем празднике – 8 Марта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37E" w:rsidRPr="00552664" w:rsidRDefault="00E8737E" w:rsidP="00E87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E8737E" w:rsidRPr="00552664" w:rsidRDefault="00E8737E" w:rsidP="00E87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E8737E" w:rsidRPr="00552664" w:rsidRDefault="00E8737E" w:rsidP="00E87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E8737E" w:rsidRDefault="00E8737E" w:rsidP="00E87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E8737E" w:rsidRPr="00552664" w:rsidRDefault="00E8737E" w:rsidP="00E87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4F02FA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27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02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4F02FA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31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8" w:history="1">
        <w:r w:rsidRPr="00174A00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После оплаты отсканированную или сфотографированную квитанцию следует отправить вместе с заявкой участника </w:t>
      </w:r>
      <w:hyperlink r:id="rId9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1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3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lastRenderedPageBreak/>
        <w:t>Чтение произведения  (стихотворение, проза).</w:t>
      </w:r>
    </w:p>
    <w:p w:rsidR="000228B0" w:rsidRPr="000228B0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Pr="009E50BD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t468632134"/>
      <w:bookmarkEnd w:id="2"/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 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7.7. </w:t>
      </w:r>
      <w:r w:rsidR="00AC182A" w:rsidRPr="00AC18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Литературное творчество, разработки учебных занятий, разработка внеклассных мероприятий, методическая разработка, мастер-классы, педагогические проекты, педагогические эссе отправляются в формате </w:t>
      </w:r>
      <w:proofErr w:type="spellStart"/>
      <w:r w:rsidR="00AC182A" w:rsidRPr="00AC18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word</w:t>
      </w:r>
      <w:proofErr w:type="spellEnd"/>
      <w:r w:rsidR="00AC182A" w:rsidRPr="00AC18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 w:rsidR="004F02FA">
        <w:rPr>
          <w:rFonts w:ascii="Times New Roman" w:hAnsi="Times New Roman" w:cs="Times New Roman"/>
          <w:sz w:val="24"/>
          <w:szCs w:val="24"/>
        </w:rPr>
        <w:t>Весна идет</w:t>
      </w:r>
      <w:r w:rsidRPr="000228B0">
        <w:rPr>
          <w:rFonts w:ascii="Times New Roman" w:hAnsi="Times New Roman" w:cs="Times New Roman"/>
          <w:sz w:val="24"/>
          <w:szCs w:val="24"/>
        </w:rPr>
        <w:t>!</w:t>
      </w:r>
      <w:r w:rsidR="004F02FA">
        <w:rPr>
          <w:rFonts w:ascii="Times New Roman" w:hAnsi="Times New Roman" w:cs="Times New Roman"/>
          <w:sz w:val="24"/>
          <w:szCs w:val="24"/>
        </w:rPr>
        <w:t xml:space="preserve"> Весне дорогу!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соответствие творческого уровня возрасту автора;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 Результаты Конкурса будут подведены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.0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.2018 г.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9.6.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9.7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9.8.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9.9.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 w:rsidR="00DA2895">
        <w:rPr>
          <w:rFonts w:ascii="Times New Roman" w:hAnsi="Times New Roman" w:cs="Times New Roman"/>
          <w:sz w:val="24"/>
          <w:szCs w:val="24"/>
        </w:rPr>
        <w:t>Весна идет</w:t>
      </w:r>
      <w:r w:rsidRPr="000228B0">
        <w:rPr>
          <w:rFonts w:ascii="Times New Roman" w:hAnsi="Times New Roman" w:cs="Times New Roman"/>
          <w:sz w:val="24"/>
          <w:szCs w:val="24"/>
        </w:rPr>
        <w:t>!</w:t>
      </w:r>
      <w:r w:rsidR="00DA2895">
        <w:rPr>
          <w:rFonts w:ascii="Times New Roman" w:hAnsi="Times New Roman" w:cs="Times New Roman"/>
          <w:sz w:val="24"/>
          <w:szCs w:val="24"/>
        </w:rPr>
        <w:t xml:space="preserve"> Весне дорогу!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6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7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8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64FE"/>
    <w:rsid w:val="003436F7"/>
    <w:rsid w:val="003545CF"/>
    <w:rsid w:val="00373B5C"/>
    <w:rsid w:val="00380AA7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02FA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5765"/>
    <w:rsid w:val="00711A47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D369C"/>
    <w:rsid w:val="007F1E5A"/>
    <w:rsid w:val="007F1E8B"/>
    <w:rsid w:val="00800FC8"/>
    <w:rsid w:val="00804612"/>
    <w:rsid w:val="00821904"/>
    <w:rsid w:val="008223C7"/>
    <w:rsid w:val="00860601"/>
    <w:rsid w:val="00872B42"/>
    <w:rsid w:val="0087508C"/>
    <w:rsid w:val="008873D1"/>
    <w:rsid w:val="00892D38"/>
    <w:rsid w:val="008A60BA"/>
    <w:rsid w:val="008B3ACE"/>
    <w:rsid w:val="008C7022"/>
    <w:rsid w:val="0090087A"/>
    <w:rsid w:val="009018FE"/>
    <w:rsid w:val="00901BD2"/>
    <w:rsid w:val="00944F6E"/>
    <w:rsid w:val="009576C8"/>
    <w:rsid w:val="00977B7C"/>
    <w:rsid w:val="00983A9F"/>
    <w:rsid w:val="00983EE6"/>
    <w:rsid w:val="00995AF1"/>
    <w:rsid w:val="009E50BD"/>
    <w:rsid w:val="00A01701"/>
    <w:rsid w:val="00A10B0A"/>
    <w:rsid w:val="00A20200"/>
    <w:rsid w:val="00A234C3"/>
    <w:rsid w:val="00A62BDE"/>
    <w:rsid w:val="00A73695"/>
    <w:rsid w:val="00A85F56"/>
    <w:rsid w:val="00A87860"/>
    <w:rsid w:val="00A95ACB"/>
    <w:rsid w:val="00AA6D80"/>
    <w:rsid w:val="00AB128E"/>
    <w:rsid w:val="00AB204B"/>
    <w:rsid w:val="00AC182A"/>
    <w:rsid w:val="00AC6818"/>
    <w:rsid w:val="00AD739F"/>
    <w:rsid w:val="00AF5702"/>
    <w:rsid w:val="00B00F2A"/>
    <w:rsid w:val="00B06225"/>
    <w:rsid w:val="00B20F1E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5085E"/>
    <w:rsid w:val="00D611A3"/>
    <w:rsid w:val="00D621DB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8737E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56D4E"/>
    <w:rsid w:val="00F83E91"/>
    <w:rsid w:val="00F97880"/>
    <w:rsid w:val="00FA3088"/>
    <w:rsid w:val="00FB05F2"/>
    <w:rsid w:val="00FB6225"/>
    <w:rsid w:val="00FD0F61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NVD/TY1AfvjEx" TargetMode="External"/><Relationship Id="rId13" Type="http://schemas.openxmlformats.org/officeDocument/2006/relationships/hyperlink" Target="https://cloud.mail.ru/public/NGVu/CFfgSJ3np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DcLJ/WovSsMFUa" TargetMode="External"/><Relationship Id="rId17" Type="http://schemas.openxmlformats.org/officeDocument/2006/relationships/hyperlink" Target="http://www.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DcLJ/WovSsMFUa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-izmerenie.ru" TargetMode="External"/><Relationship Id="rId10" Type="http://schemas.openxmlformats.org/officeDocument/2006/relationships/hyperlink" Target="mailto:5.izmerenie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CfaR/ZME75icvb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B686-7316-4057-B801-90AEDE9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2017-03-18T19:34:00Z</dcterms:created>
  <dcterms:modified xsi:type="dcterms:W3CDTF">2018-03-17T04:53:00Z</dcterms:modified>
</cp:coreProperties>
</file>